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CA" w:rsidRPr="002169CA" w:rsidRDefault="002169CA" w:rsidP="002169CA">
      <w:pPr>
        <w:spacing w:after="0" w:line="240" w:lineRule="auto"/>
        <w:ind w:right="77"/>
        <w:jc w:val="center"/>
        <w:rPr>
          <w:rFonts w:ascii="Verdana" w:hAnsi="Verdana"/>
          <w:b/>
          <w:sz w:val="40"/>
          <w:szCs w:val="40"/>
        </w:rPr>
      </w:pPr>
      <w:r>
        <w:rPr>
          <w:rFonts w:ascii="Verdana" w:hAnsi="Verdana"/>
          <w:b/>
          <w:noProof/>
          <w:sz w:val="40"/>
          <w:szCs w:val="40"/>
          <w:lang w:eastAsia="de-CH"/>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-142875</wp:posOffset>
            </wp:positionV>
            <wp:extent cx="1028700" cy="971550"/>
            <wp:effectExtent l="19050" t="0" r="0" b="0"/>
            <wp:wrapNone/>
            <wp:docPr id="2" name="Bild 2"/>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4" cstate="print"/>
                    <a:srcRect/>
                    <a:stretch>
                      <a:fillRect/>
                    </a:stretch>
                  </pic:blipFill>
                  <pic:spPr bwMode="auto">
                    <a:xfrm>
                      <a:off x="0" y="0"/>
                      <a:ext cx="1028700" cy="971550"/>
                    </a:xfrm>
                    <a:prstGeom prst="rect">
                      <a:avLst/>
                    </a:prstGeom>
                    <a:noFill/>
                  </pic:spPr>
                </pic:pic>
              </a:graphicData>
            </a:graphic>
          </wp:anchor>
        </w:drawing>
      </w:r>
      <w:r>
        <w:rPr>
          <w:rFonts w:ascii="Verdana" w:hAnsi="Verdana"/>
          <w:b/>
          <w:noProof/>
          <w:sz w:val="40"/>
          <w:szCs w:val="40"/>
          <w:lang w:eastAsia="de-CH"/>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-152400</wp:posOffset>
            </wp:positionV>
            <wp:extent cx="990600" cy="914400"/>
            <wp:effectExtent l="19050" t="0" r="0" b="0"/>
            <wp:wrapNone/>
            <wp:docPr id="1" name="Bild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5" cstate="print"/>
                    <a:stretch>
                      <a:fillRect/>
                    </a:stretch>
                  </pic:blipFill>
                  <pic:spPr bwMode="auto">
                    <a:xfrm>
                      <a:off x="0" y="0"/>
                      <a:ext cx="990600" cy="914400"/>
                    </a:xfrm>
                    <a:prstGeom prst="rect">
                      <a:avLst/>
                    </a:prstGeom>
                    <a:noFill/>
                    <a:ln>
                      <a:noFill/>
                    </a:ln>
                  </pic:spPr>
                </pic:pic>
              </a:graphicData>
            </a:graphic>
          </wp:anchor>
        </w:drawing>
      </w:r>
      <w:r w:rsidRPr="002169CA">
        <w:rPr>
          <w:rFonts w:ascii="Verdana" w:hAnsi="Verdana"/>
          <w:b/>
          <w:sz w:val="40"/>
          <w:szCs w:val="40"/>
        </w:rPr>
        <w:t>Turnierreglement</w:t>
      </w:r>
    </w:p>
    <w:p w:rsidR="002169CA" w:rsidRPr="002169CA" w:rsidRDefault="00B6710E" w:rsidP="002169CA">
      <w:pPr>
        <w:spacing w:after="0" w:line="240" w:lineRule="auto"/>
        <w:ind w:right="77"/>
        <w:jc w:val="center"/>
        <w:rPr>
          <w:rFonts w:ascii="Verdana" w:hAnsi="Verdana"/>
          <w:b/>
          <w:sz w:val="40"/>
          <w:szCs w:val="40"/>
        </w:rPr>
      </w:pPr>
      <w:r>
        <w:rPr>
          <w:rFonts w:ascii="Verdana" w:hAnsi="Verdana"/>
          <w:b/>
          <w:sz w:val="40"/>
          <w:szCs w:val="40"/>
        </w:rPr>
        <w:t>2020</w:t>
      </w:r>
    </w:p>
    <w:p w:rsidR="002169CA" w:rsidRDefault="002169CA" w:rsidP="002169CA">
      <w:pPr>
        <w:spacing w:after="0" w:line="240" w:lineRule="auto"/>
        <w:ind w:left="284" w:right="77"/>
        <w:rPr>
          <w:rFonts w:ascii="Verdana" w:hAnsi="Verdana"/>
          <w:b/>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1. Teilnahmeberechtigung</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 xml:space="preserve">Teilnahme auf Einladung des Gastclubs EHC Grindelwald. An diesem Turnier sind Spieler der Nachwuchskategorie Piccolo gemäss SIHF zugelassen. Sämtliche teilnehmenden Nachwuchsspieler sind Kinder mit Jahrgang </w:t>
      </w:r>
      <w:r w:rsidR="00640281">
        <w:rPr>
          <w:rFonts w:ascii="Verdana" w:hAnsi="Verdana"/>
          <w:sz w:val="20"/>
          <w:szCs w:val="20"/>
        </w:rPr>
        <w:t>2009</w:t>
      </w:r>
      <w:r w:rsidRPr="002169CA">
        <w:rPr>
          <w:rFonts w:ascii="Verdana" w:hAnsi="Verdana"/>
          <w:sz w:val="20"/>
          <w:szCs w:val="20"/>
        </w:rPr>
        <w:t xml:space="preserve"> oder jünger</w:t>
      </w:r>
      <w:r w:rsidR="00640281">
        <w:rPr>
          <w:rFonts w:ascii="Verdana" w:hAnsi="Verdana"/>
          <w:sz w:val="20"/>
          <w:szCs w:val="20"/>
        </w:rPr>
        <w:t>. (Mädchen mit dem Jahrgang 2008</w:t>
      </w:r>
      <w:r w:rsidRPr="002169CA">
        <w:rPr>
          <w:rFonts w:ascii="Verdana" w:hAnsi="Verdana"/>
          <w:sz w:val="20"/>
          <w:szCs w:val="20"/>
        </w:rPr>
        <w:t xml:space="preserve"> sind zugelassen.) Jeder Spieler muss sich mittels eines amtlichen Ausweises ausweisen können und im Besitz einer gültigen Lizenz sein.</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2. Grundsatz</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 xml:space="preserve">Die Regeln der SIHF für Piccolo- und Bambini-Turniere </w:t>
      </w:r>
      <w:r w:rsidR="00B6710E">
        <w:rPr>
          <w:rFonts w:ascii="Verdana" w:hAnsi="Verdana"/>
          <w:sz w:val="20"/>
          <w:szCs w:val="20"/>
        </w:rPr>
        <w:t xml:space="preserve">(U9 &amp; U11) </w:t>
      </w:r>
      <w:r w:rsidRPr="002169CA">
        <w:rPr>
          <w:rFonts w:ascii="Verdana" w:hAnsi="Verdana"/>
          <w:sz w:val="20"/>
          <w:szCs w:val="20"/>
        </w:rPr>
        <w:t>gelten sinngemäss.</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3. Versicherung</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Teilnehmer haben sich selbst gegen Unfall und Krankheit zu versichern. Das OK lehnt jegliche Haftung ab.</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b/>
          <w:sz w:val="20"/>
          <w:szCs w:val="20"/>
        </w:rPr>
        <w:t>4. Spielmodus</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 xml:space="preserve">Gespielt wird 4 gegen 4 Feldspieler plus jeweils 1 Torhüter. Die Blöcke von 4 Feldspielern wechseln kollektiv auf ein Pfeifsignal. Dieses Signal erklingt alle 60 Sekunden. Die spielenden Blöcke lassen den Puck liegen und verlassen unverzüglich das Spielfeld. Sie werden „fliegend“ durch die nächsten Blöcke ersetzt. Das Spiel läuft ohne Unterbrechung weiter. Doppeleinsätze der Spieler sind nicht erlaubt. </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Spielmodus: JEDER gegen JEDEN. Gestützt auf die Rangliste erfolgen die Finalspiele.</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Gemäss Spielplan.</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Bande wird auf der roten Mittellinie aufgestellt .Die Wechselspieler und Trainerzone</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befindet sich ausserhalb der Eisfläche (Spielerbank und Strafbank.) In den beiden Spielfeldern wird über die Breite (quer) gespielt. Es finden zwei Spiele gleichzeitig statt.</w:t>
      </w:r>
    </w:p>
    <w:p w:rsidR="002169CA" w:rsidRPr="002169CA" w:rsidRDefault="002169CA" w:rsidP="002169CA">
      <w:pPr>
        <w:spacing w:after="0" w:line="240" w:lineRule="auto"/>
        <w:ind w:left="284" w:right="77"/>
        <w:rPr>
          <w:rFonts w:ascii="Verdana" w:hAnsi="Verdana"/>
          <w:sz w:val="20"/>
          <w:szCs w:val="20"/>
        </w:rPr>
      </w:pP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Puck ausserhalb des Spielfeldes: „Verlässt“ der Puck das Spielfeld, so wirft der Schiedsrichter an dieser Stelle einen neuen Puck aufs Spielfeld. Torhüter arretiert den Puck: Wird der Puck vom Schiedsrichter in eine der beiden Spielfeldecken geworfen. Tor: Nach einem Tor wird der Puck der Mannschaft, welche das Tor erhalten hat, durch den Schiedsrichter zugespielt (hinter dem Tor).Die Mannschaft welche das Tor erzielt hat, zieht sich hinter in die eigene Spielhälfte zurück. Angespielt wird nur zu Beginn des Spiels</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5. Spielzeit</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Matchdauer bei allen Spielen beträgt, 2 mal 15 Minuten effektive Spielzeit, ohne Anhalten der Uhr. Es findet kein Seitenwechsel statt.</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6. Schiedsrichter</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Schiedsrichter werden von der Turnierleitung aufgeboten. Die Spiele werden mit jeweils einem Schiedsrichter pro Spielfeld geleitet. Wird eine Strafe ausgesprochen, wird der Spieler für den Rest der laufenden Einsatzzeit auf der Spielerbank geschickt.</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8. Rangierung</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Gruppenspiele: Sieg = 2 Punkte / Unentschieden = 1 Punkt.</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Bei Punktgleichheit nach den Gruppenspielen wird in folgender Reihenfolge rangiert:</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1. Resultat der direkten Begegnung, 2. Tordifferenz, 3. Anzahl erzielter Tore, 4. Losentscheid</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Finalrunde / Finalspiel: Sollten vorgenannte Spiele nach der offiziellen Spielzeit unentschieden stehen, wird unverzüglich ein Penaltyschiessen ausgetragen (3 Schützen pro Team). Wenn keine Entscheidung fällt, folgt je 1 Schütze pro Team, alternierend bis zur Entscheidung.</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Kein Spieler darf zweimal antreten.</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9. Proteste</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 xml:space="preserve">Allfällige Proteste sind der Turnierleitung schriftlich und sofort nach </w:t>
      </w:r>
      <w:proofErr w:type="gramStart"/>
      <w:r w:rsidRPr="002169CA">
        <w:rPr>
          <w:rFonts w:ascii="Verdana" w:hAnsi="Verdana"/>
          <w:sz w:val="20"/>
          <w:szCs w:val="20"/>
        </w:rPr>
        <w:t>Spielende</w:t>
      </w:r>
      <w:proofErr w:type="gramEnd"/>
      <w:r w:rsidRPr="002169CA">
        <w:rPr>
          <w:rFonts w:ascii="Verdana" w:hAnsi="Verdana"/>
          <w:sz w:val="20"/>
          <w:szCs w:val="20"/>
        </w:rPr>
        <w:t xml:space="preserve"> einzureichen.</w:t>
      </w:r>
    </w:p>
    <w:p w:rsid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Protestgebühr beträgt Fr. 100.-- und geht bei einer Ablehnung des Protestes in die Turnierkasse. Entscheide der Turnierleitung sind endgültig und können nicht angefochten werden.</w:t>
      </w:r>
    </w:p>
    <w:p w:rsidR="002169CA" w:rsidRPr="002169CA" w:rsidRDefault="002169CA" w:rsidP="002169CA">
      <w:pPr>
        <w:spacing w:after="0" w:line="240" w:lineRule="auto"/>
        <w:ind w:left="284" w:right="77"/>
        <w:rPr>
          <w:rFonts w:ascii="Verdana" w:hAnsi="Verdana"/>
          <w:sz w:val="20"/>
          <w:szCs w:val="20"/>
        </w:rPr>
      </w:pPr>
    </w:p>
    <w:p w:rsidR="002169CA" w:rsidRPr="002169CA" w:rsidRDefault="002169CA" w:rsidP="002169CA">
      <w:pPr>
        <w:spacing w:after="0" w:line="240" w:lineRule="auto"/>
        <w:ind w:left="284" w:right="77"/>
        <w:rPr>
          <w:rFonts w:ascii="Verdana" w:hAnsi="Verdana"/>
          <w:b/>
          <w:sz w:val="20"/>
          <w:szCs w:val="20"/>
        </w:rPr>
      </w:pPr>
      <w:r w:rsidRPr="002169CA">
        <w:rPr>
          <w:rFonts w:ascii="Verdana" w:hAnsi="Verdana"/>
          <w:b/>
          <w:sz w:val="20"/>
          <w:szCs w:val="20"/>
        </w:rPr>
        <w:t>10. Siegerehrung und Preise</w:t>
      </w:r>
    </w:p>
    <w:p w:rsidR="002169CA" w:rsidRPr="002169CA" w:rsidRDefault="002169CA" w:rsidP="002169CA">
      <w:pPr>
        <w:spacing w:after="0" w:line="240" w:lineRule="auto"/>
        <w:ind w:left="284" w:right="77"/>
        <w:rPr>
          <w:rFonts w:ascii="Verdana" w:hAnsi="Verdana"/>
          <w:sz w:val="20"/>
          <w:szCs w:val="20"/>
        </w:rPr>
      </w:pPr>
      <w:r w:rsidRPr="002169CA">
        <w:rPr>
          <w:rFonts w:ascii="Verdana" w:hAnsi="Verdana"/>
          <w:sz w:val="20"/>
          <w:szCs w:val="20"/>
        </w:rPr>
        <w:t>Die Teilnahme aller Teams im Matchleibchen ist obligatorisch. Jeder Spieler und Trainer/Betreuer (max. 16 Personen) erhält eine Medaille.</w:t>
      </w:r>
    </w:p>
    <w:p w:rsidR="009A31CB" w:rsidRPr="002169CA" w:rsidRDefault="009A31CB">
      <w:pPr>
        <w:rPr>
          <w:sz w:val="20"/>
          <w:szCs w:val="20"/>
        </w:rPr>
      </w:pPr>
    </w:p>
    <w:sectPr w:rsidR="009A31CB" w:rsidRPr="002169CA" w:rsidSect="002169CA">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69CA"/>
    <w:rsid w:val="002169CA"/>
    <w:rsid w:val="00247D7F"/>
    <w:rsid w:val="004833A5"/>
    <w:rsid w:val="00640281"/>
    <w:rsid w:val="00890D88"/>
    <w:rsid w:val="009A31CB"/>
    <w:rsid w:val="00B6710E"/>
    <w:rsid w:val="00EC4D6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69C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4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Win-8</dc:creator>
  <cp:lastModifiedBy>Win-8</cp:lastModifiedBy>
  <cp:revision>4</cp:revision>
  <cp:lastPrinted>2020-01-08T17:29:00Z</cp:lastPrinted>
  <dcterms:created xsi:type="dcterms:W3CDTF">2018-02-07T09:41:00Z</dcterms:created>
  <dcterms:modified xsi:type="dcterms:W3CDTF">2020-01-08T17:29:00Z</dcterms:modified>
</cp:coreProperties>
</file>